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3CCC3">
      <w:pPr>
        <w:jc w:val="center"/>
        <w:outlineLvl w:val="0"/>
        <w:rPr>
          <w:rFonts w:hint="eastAsia" w:ascii="宋体" w:hAnsi="宋体" w:eastAsia="宋体" w:cs="宋体"/>
          <w:b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highlight w:val="none"/>
        </w:rPr>
        <w:t>采购项目技术、服务及其他商务要求</w:t>
      </w:r>
    </w:p>
    <w:p w14:paraId="362B844C">
      <w:pPr>
        <w:pStyle w:val="2"/>
        <w:spacing w:line="480" w:lineRule="auto"/>
        <w:ind w:firstLine="643" w:firstLineChars="200"/>
        <w:jc w:val="center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574183A2">
      <w:pPr>
        <w:pStyle w:val="2"/>
        <w:spacing w:line="480" w:lineRule="auto"/>
        <w:ind w:firstLine="643" w:firstLineChars="200"/>
        <w:jc w:val="center"/>
        <w:outlineLvl w:val="1"/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技术、服务要求</w:t>
      </w:r>
    </w:p>
    <w:p w14:paraId="474DD8DF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主要标的基本情况和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highlight w:val="none"/>
        </w:rPr>
        <w:t>技术参数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要求</w:t>
      </w:r>
    </w:p>
    <w:p w14:paraId="2304A12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达州市中心医院肥皂和合成洗涤剂采购明细表：</w:t>
      </w:r>
    </w:p>
    <w:tbl>
      <w:tblPr>
        <w:tblStyle w:val="5"/>
        <w:tblW w:w="14758" w:type="dxa"/>
        <w:tblInd w:w="-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235"/>
        <w:gridCol w:w="1299"/>
        <w:gridCol w:w="808"/>
        <w:gridCol w:w="1404"/>
        <w:gridCol w:w="7763"/>
        <w:gridCol w:w="1510"/>
      </w:tblGrid>
      <w:tr w14:paraId="18030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A5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5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CF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规格型号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51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BE7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最高单价限价（元）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47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技术参数要求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43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采购内容对应的中小企业划分标准所属行业</w:t>
            </w:r>
          </w:p>
        </w:tc>
      </w:tr>
      <w:tr w14:paraId="19F14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0B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D9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医用主洗剂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E7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≤60升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23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5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10.41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4F5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1.机用合成洗涤剂，含多种超浓缩表面活性剂、污垢抗再沉淀剂、特殊荧光素；除血渍，去污力强、泡沫少、易清洗。适用于各种水质条件医院各类布草洗涤。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2.pH 值 (0.1%溶液，25℃)：≤11.5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3.总活性物含量(%)：≥15.0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4.外观：无色至微黄色透明液体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(25℃)  (mPa·s) ： ≤150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6.比重 (25℃)  (g/ml) ：1.02-1.10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7.用法：采用洗衣机自动分配器投料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32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51AE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3DC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286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医用助洗剂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C2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≤60升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A0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042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10.21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15AA51A0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1.机用高效浓缩液洗剂，含强效助剂、合剂、渗透剂、活性碱；具有强力渗透、分解和去污功能，不损伤布草，适用于医院各种重污渍布草。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2.pH 值 (0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1%溶液，25℃) ：≤13。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3.外观：均匀液体，无机械杂质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4.比重 (25℃)  (g/ml) ：1.15-1.35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5.用法：采用洗衣机自动分配器投料。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1C1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10F4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178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1DA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医用氯漂剂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8CE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≤60升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05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8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10.26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2A245A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1.具有广谱消毒、杀菌作用。能够有效去除血色素、各种色斑及污渍，适用于医院各种颜色的布草洗涤。                                                               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.外观：不分层，为无悬浮物或沉淀，无机械杂质的均匀液体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气味：略带次氯酸钠的气味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稳定性：40℃(±2℃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保持24小时，恢复至室温后与试验前无明显变化；-5℃(±2℃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保持24小时，恢复至室温后与试验前无明显变化。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有效氯含量/%：≥6.0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游离碱(以NaOH计)/%：≤1.2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用法：采用洗衣机自动分配器投料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38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038D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E2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DD0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医用氧漂剂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E6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≤60升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183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71B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10.31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491DC9B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1.含活性氧，性能稳定，适用于医院各种颜色的布草洗涤。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2.外观：透明液体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3.气味：无异味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4.pH 值 (1%溶液，25℃) ：3.0-7.0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5.有效氧含量(%)： ≥10.0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6.稳定性：40℃(±2℃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保持 24 小时，恢复至室温后与试验前无明显变化；-5℃(±2℃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保持 24 小时，恢复至室温后与试验前无明显变化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2E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0CB2C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5F8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24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医用乳化剂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F6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≤60升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340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A14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10.91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7DDB6C96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1.含多种高效浓缩表面活性剂、溶剂，能有效去除各种动植物油、矿物质油、药膏、机械油。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2.外观：无色透明液体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3.比重 (25℃)  (g/ml) ：1.00-1.04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.黏度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(25℃)  (mPa·s) ：≤150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5.pH 值 (1%溶液，25℃) ：5.0-8.0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6.总活性物含量(%)：≥25.0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7.用法：采用洗衣机自动分配器投料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811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5DB3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CF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D78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医用中和剂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B7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≤60升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698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升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4A9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C2AEC6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top"/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含有机酸，弱酸性织物洗涤后处理剂，能够有效中和布草洗涤后的残留碱性洗涤剂，可以有效去除洗涤后的气味，还原布草本色，防止布草泛黄、发灰，提高布草的白度和鲜</w:t>
            </w:r>
            <w:r>
              <w:rPr>
                <w:rFonts w:hint="eastAsia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度，增加布草寿命。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2.外观：无色透明液体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3.比重 (25℃)  (g/ml) ：1.12-1.20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4.pH值(1%溶液，25℃)：≤4.0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30B3C4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5.用法：采用洗衣机自动分配器投料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D9E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5B7CA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C0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2D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洗衣粉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A3D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508g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63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655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5.9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CE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无磷，阴离子表面活性剂，抗污渍再沉积剂，水软化剂，生物酶、非离子表面活性剂、衣物增艳剂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FB4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040F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6EB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0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肥皂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1ED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≥252g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78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C3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5.66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1432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无磷洗衣皂泡沫丰富,去污迅速,持久耐用,天然椰子油,天然香料配方, 适用于：各种棉质衣物，泡沫丰富，去污迅速，易漂洗，洗得干净且不褪色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59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4AAA6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481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BD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9CF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1.12kg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F66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E7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11.9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79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食品级；主要成分：软化水、表面活性剂、香精精华等；非浓缩型；无磷；酸碱性：中性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FEF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0798A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F2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319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卫生洁具清洁剂（洁厕灵/洁厕净）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C88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500ml  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8A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A15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4.69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F3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适用于便池、马桶、面盆等，不伤釉面；功效：除垢、除菌，除菌率达99.9%；包装外观：弯头尖嘴，便于清洁卫生死角；主要成分：无机酸、表同活性剂、增稠剂、香精等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D31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  <w:tr w14:paraId="6AF9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ED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6D4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多用途清洁剂（五洁粉）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04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"/>
              </w:rPr>
              <w:t xml:space="preserve">500克   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BD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B6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8.51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8DF1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无磷、除臭、去味，适合于各种物质表面:搪瓷,陶瓷,铝合金,不锈钢,镀金银鉻,塑料,油漆,玻璃等</w:t>
            </w:r>
            <w:r>
              <w:rPr>
                <w:rFonts w:hint="eastAsia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0A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工业</w:t>
            </w:r>
          </w:p>
        </w:tc>
      </w:tr>
    </w:tbl>
    <w:p w14:paraId="4B103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二、服务要求</w:t>
      </w:r>
    </w:p>
    <w:p w14:paraId="49A64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配送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要求</w:t>
      </w:r>
    </w:p>
    <w:p w14:paraId="0A4F5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必须具备符合行业规定及满足配送需要的仓储、交通运输等设施设备，确保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普通塑料制品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的安全储存和安全运输。</w:t>
      </w:r>
    </w:p>
    <w:p w14:paraId="7FAFD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.供应商必须自行提供配送服务，不得将配送工作进行任何方式的转包或分包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提供承诺书）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3F775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.供应商需承诺包装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运输等安全责任由供应商负责，在运输及装卸过程中发生的一切安全事故，包括人员、车辆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安全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事故等情况，由供应商负责处置，并依法承担所有责任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提供承诺书）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06C3A1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4.供应商负责将货物运到现场过程中的全部运输，包括包装、装卸车、货物现场的搬运。 </w:t>
      </w:r>
    </w:p>
    <w:p w14:paraId="3AD155E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.各种货物需提供配送清单，按清单验收货物。货物在现场的保管由供应商负责，直至验收完毕。</w:t>
      </w:r>
    </w:p>
    <w:p w14:paraId="143D6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（二）质量保证及售后服务</w:t>
      </w:r>
    </w:p>
    <w:p w14:paraId="0926B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1.质量保证：供应商应保证产品质量及其标识必须符合最新的国家标准的规定。</w:t>
      </w:r>
    </w:p>
    <w:p w14:paraId="3202A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2.保质期:本项目配送的产品保</w:t>
      </w:r>
      <w:r>
        <w:rPr>
          <w:rFonts w:hint="eastAsia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质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期在该产品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保质期内的前三分之一时间段内。</w:t>
      </w:r>
    </w:p>
    <w:p w14:paraId="5C9E735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3.供应商对提供的产品须按约定的规格、价格、订单上商定的包装数量配送（所有费用包含在本次投标报价中）。</w:t>
      </w:r>
    </w:p>
    <w:p w14:paraId="29DE35AC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4.成交供应商须指派专人负责与采购人联系售后配送服务事宜。 </w:t>
      </w:r>
    </w:p>
    <w:p w14:paraId="33501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（三）技术要求</w:t>
      </w:r>
    </w:p>
    <w:p w14:paraId="348DDD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供应商提供的产品需满足《达州市中心医院肥皂和合成洗涤剂采购明细表》中的要求。</w:t>
      </w:r>
    </w:p>
    <w:p w14:paraId="2EB4A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）其他要求</w:t>
      </w:r>
    </w:p>
    <w:p w14:paraId="3B59F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1.供应商提供的所有产品外包装均需印有产品的规格和数量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提供承诺书）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651BE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2.为便于自动加洗涤用品《达州市中心医院肥皂和合成洗涤剂采购明细表》中序号1-6项，供应商须承诺自行提供自动投料设备，合同结束时投料设备自行处理。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提供承诺书）</w:t>
      </w:r>
    </w:p>
    <w:p w14:paraId="2C78D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（五）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方式</w:t>
      </w:r>
    </w:p>
    <w:p w14:paraId="0AB8A5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报价应包含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所有税费、成本、利润、运输、装卸、劳保、保险等一切费用。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具体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报价方式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为下浮率报价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。</w:t>
      </w:r>
    </w:p>
    <w:p w14:paraId="7C20A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供应商报价下浮比例，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价格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核定依据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《达州市中心医院肥皂和合成洗涤剂采购明细表》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中的单价最高限价为控制价，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最终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产品结算单价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=单价最高限价</w:t>
      </w:r>
      <w:r>
        <w:rPr>
          <w:rFonts w:hint="eastAsia" w:eastAsia="宋体" w:cs="宋体"/>
          <w:color w:val="auto"/>
          <w:sz w:val="24"/>
          <w:szCs w:val="24"/>
          <w:highlight w:val="none"/>
          <w:lang w:val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（1-下浮率）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（例如：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单价最高限价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=0.17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/个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，报价下浮率：5%，结算单价：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0.17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×（1-5%）=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0.16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元）。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（四舍五入，保留小数点后二位）</w:t>
      </w:r>
    </w:p>
    <w:p w14:paraId="59438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3.本项目为单价最高限价，供应商的报价下浮率必须为唯一的固定数值，供应商响应报价最高下浮率不得超过（含）100%， 且不得为负数，在合同执行进程中不得以任何理由增加，不接受区间报价和多个报价，否则其响应文件将按无效响应文件处理。</w:t>
      </w:r>
      <w:r>
        <w:rPr>
          <w:rFonts w:hint="eastAsia" w:eastAsia="宋体" w:cs="宋体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下浮比例的定义：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zh-CN"/>
        </w:rPr>
        <w:t>单价最高限价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zh-CN"/>
        </w:rPr>
        <w:t>10元，下浮2元，即下浮率为20%。</w:t>
      </w:r>
      <w:r>
        <w:rPr>
          <w:rFonts w:hint="eastAsia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)</w:t>
      </w:r>
    </w:p>
    <w:p w14:paraId="23772600">
      <w:pPr>
        <w:pStyle w:val="2"/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</w:p>
    <w:p w14:paraId="2B84E8CF">
      <w:pPr>
        <w:pStyle w:val="2"/>
        <w:spacing w:line="360" w:lineRule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注：1）本项目采购产品中的核心产品，用“△”号标示。</w:t>
      </w:r>
    </w:p>
    <w:p w14:paraId="685A3457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2）标注“★”的内容为实质性要求，若有负偏离，做无效响应处理。</w:t>
      </w:r>
    </w:p>
    <w:p w14:paraId="2E2A9620">
      <w:pPr>
        <w:pStyle w:val="2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3）根据实际使用量按月支付。</w:t>
      </w:r>
    </w:p>
    <w:p w14:paraId="4ED6325D">
      <w:pPr>
        <w:pStyle w:val="4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00037C2E">
      <w:pPr>
        <w:pStyle w:val="2"/>
        <w:spacing w:line="480" w:lineRule="auto"/>
        <w:ind w:firstLine="643" w:firstLineChars="200"/>
        <w:jc w:val="center"/>
        <w:outlineLvl w:val="1"/>
        <w:rPr>
          <w:rFonts w:hint="eastAsia" w:ascii="宋体" w:hAnsi="宋体" w:eastAsia="宋体" w:cs="宋体"/>
          <w:b/>
          <w:color w:val="auto"/>
          <w:sz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highlight w:val="none"/>
        </w:rPr>
        <w:t>商务要求</w:t>
      </w:r>
      <w:r>
        <w:rPr>
          <w:rFonts w:hint="eastAsia" w:ascii="宋体" w:hAnsi="宋体" w:eastAsia="宋体" w:cs="宋体"/>
          <w:b/>
          <w:color w:val="auto"/>
          <w:sz w:val="32"/>
          <w:highlight w:val="none"/>
          <w:lang w:eastAsia="zh-CN"/>
        </w:rPr>
        <w:t>（实质性要求）</w:t>
      </w:r>
    </w:p>
    <w:p w14:paraId="2BA0F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服务期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限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一年或</w:t>
      </w:r>
      <w:r>
        <w:rPr>
          <w:rFonts w:hint="eastAsia" w:eastAsia="宋体" w:cs="宋体"/>
          <w:color w:val="auto"/>
          <w:sz w:val="24"/>
          <w:szCs w:val="24"/>
          <w:highlight w:val="none"/>
          <w:lang w:val="en-US" w:eastAsia="zh-CN"/>
        </w:rPr>
        <w:t>预算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金额使用完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30714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交货期及地点</w:t>
      </w:r>
    </w:p>
    <w:p w14:paraId="63A2A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  <w:lang w:val="en-US" w:eastAsia="zh-CN"/>
        </w:rPr>
        <w:t>1.本项目供货按照采购人计划分批次供应，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  <w:highlight w:val="none"/>
        </w:rPr>
        <w:t>接到采购人送货通知后，计划采购物资48小时内送达，急需采购物资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需在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  <w:highlight w:val="none"/>
        </w:rPr>
        <w:t>2小时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  <w:highlight w:val="none"/>
        </w:rPr>
        <w:t>送达</w:t>
      </w:r>
      <w:r>
        <w:rPr>
          <w:rStyle w:val="9"/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23359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地点：采购人指定地点。</w:t>
      </w:r>
    </w:p>
    <w:p w14:paraId="6EA1F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付款方式</w:t>
      </w:r>
    </w:p>
    <w:p w14:paraId="1E889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本项目根据实际采购使用量据实结算，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每月统计一次当月使用量，结算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单价＝单价最高限价</w:t>
      </w:r>
      <w:r>
        <w:rPr>
          <w:rFonts w:hint="eastAsia" w:eastAsia="宋体" w:cs="宋体"/>
          <w:color w:val="auto"/>
          <w:sz w:val="24"/>
          <w:szCs w:val="24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（1-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下浮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率），最终结算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总价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＝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结算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单价</w:t>
      </w:r>
      <w:r>
        <w:rPr>
          <w:rFonts w:hint="eastAsia" w:eastAsia="宋体" w:cs="宋体"/>
          <w:color w:val="auto"/>
          <w:sz w:val="24"/>
          <w:szCs w:val="24"/>
          <w:highlight w:val="none"/>
          <w:lang w:eastAsia="zh-CN"/>
        </w:rPr>
        <w:t>*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实际使用量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none"/>
        </w:rPr>
        <w:t>。由采购人、成交供应商共同核实供货量及价格后开具发票。采购人在收到发票后按照采购人报账流程为供应商办理结算手续。</w:t>
      </w:r>
    </w:p>
    <w:p w14:paraId="716A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验收</w:t>
      </w:r>
    </w:p>
    <w:p w14:paraId="01179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验收标准：按照财政部发布的《关于进一步加强政府采购需求和履约验收管理的指导意见》（财库[2016]205号）的要求，结合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竞争性谈判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文件、供应商的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响应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文件进行验收。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每次所供应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根据供货要求须接受现场验货。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将货物送达后，由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对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质量、数量进行验收，验收合格后双方人员在送货清单上签字。若采购人发现配送的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存在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更换、质量不合格等情况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，将及时通知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进行处理并做好记录，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需无偿更换相同品种相同数量的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产品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DD8A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若经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查验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提供商品的质量、规格不符合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要求或产品标准，采购人有权拒绝收货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应于当日无条件更换符合要求的产品。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如当月发生3次及以上供应商提供商品的质量、规格不符合采购人标准或产品标准的情况，采购人有权不支付当月货款。</w:t>
      </w:r>
    </w:p>
    <w:p w14:paraId="6F41A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检验时发现货物数量不足、规格与要求不符，或虽然货物外包装完好无损但货物短缺或损伤，采购人有权拒绝接收并要求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</w:rPr>
        <w:t>进行补足货物。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</w:p>
    <w:p w14:paraId="27DAB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五、违约责任及索赔</w:t>
      </w:r>
    </w:p>
    <w:p w14:paraId="6B5C6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超时送货</w:t>
      </w:r>
    </w:p>
    <w:p w14:paraId="341B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超过配送时间的送货视情节给予采购人1000-5000元/次的经济补偿。</w:t>
      </w:r>
    </w:p>
    <w:p w14:paraId="1017E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提供商品溯源</w:t>
      </w:r>
    </w:p>
    <w:p w14:paraId="6427B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积极配合采购人及相关部门随时抽查商品来源、制作场所及流程。供应商如无正当理由拒绝，也不书面安排重新抽查的，给予2000元/次的经济补偿，同时办理其解约事宜。</w:t>
      </w:r>
    </w:p>
    <w:p w14:paraId="1006F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停止或中断供货</w:t>
      </w:r>
    </w:p>
    <w:p w14:paraId="008C1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供应商未经采购人同意即停止或中断供货时，采购人有权终止合同。采购人及相关部门有权立即发函通知将其列为不良商家，且不予支付全部上月货款，作为给采购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highlight w:val="none"/>
          <w:lang w:val="en-US" w:eastAsia="zh-CN" w:bidi="ar-SA"/>
        </w:rPr>
        <w:t>人带来经济损失的补偿。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D0473"/>
    <w:rsid w:val="2E3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after="120"/>
    </w:pPr>
    <w:rPr>
      <w:rFonts w:ascii="Times New Roman" w:hAnsi="Times New Roman"/>
      <w:sz w:val="21"/>
      <w:szCs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宋体" w:hAnsi="宋体"/>
      <w:sz w:val="32"/>
      <w:szCs w:val="32"/>
    </w:rPr>
  </w:style>
  <w:style w:type="character" w:customStyle="1" w:styleId="7">
    <w:name w:val="font41"/>
    <w:basedOn w:val="6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8">
    <w:name w:val="font21"/>
    <w:basedOn w:val="6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9">
    <w:name w:val="fontstyle01"/>
    <w:basedOn w:val="6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2025-05-06T06:23:00Z</dcterms:created>
  <dc:creator>Lucy</dc:creator>
  <cp:lastModifiedBy>Lucy</cp:lastModifiedBy>
  <dcterms:modified xsi:type="dcterms:W3CDTF">2025-05-06T06:24:12Z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185E3F3E934A4A11BB9FC5E73B3CC6EE_11</vt:lpwstr>
  </property>
  <property fmtid="{D5CDD505-2E9C-101B-9397-08002B2CF9AE}" pid="4" name="KSOTemplateDocerSaveRecord">
    <vt:lpwstr>eyJoZGlkIjoiMjY4MmU1YmUwODk0YzVjOWYzYWJmOTA1MzczODMzZWYiLCJ1c2VySWQiOiIyNzQwOTMyMTAifQ==</vt:lpwstr>
  </property>
</Properties>
</file>